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Times New Roman" w:hAnsi="Times New Roman" w:cs="Times New Roman"/>
          <w:sz w:val="16"/>
          <w:szCs w:val="16"/>
        </w:rPr>
      </w:pPr>
      <w:r>
        <w:rPr>
          <w:rFonts w:cs="Times New Roman" w:ascii="Times New Roman" w:hAnsi="Times New Roman"/>
          <w:sz w:val="16"/>
          <w:szCs w:val="16"/>
        </w:rPr>
        <w:t>AA-Règlement intérieur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b/>
          <w:b/>
          <w:sz w:val="36"/>
          <w:szCs w:val="36"/>
        </w:rPr>
      </w:pPr>
      <w:r>
        <w:rPr>
          <w:rFonts w:cs="Times New Roman" w:ascii="Times New Roman" w:hAnsi="Times New Roman"/>
          <w:b/>
          <w:sz w:val="36"/>
          <w:szCs w:val="36"/>
        </w:rPr>
      </w:r>
    </w:p>
    <w:p>
      <w:pPr>
        <w:pStyle w:val="Normal"/>
        <w:jc w:val="center"/>
        <w:rPr>
          <w:rFonts w:ascii="Times New Roman" w:hAnsi="Times New Roman" w:cs="Times New Roman"/>
          <w:b/>
          <w:b/>
          <w:sz w:val="36"/>
          <w:szCs w:val="36"/>
        </w:rPr>
      </w:pPr>
      <w:r>
        <w:rPr>
          <w:rFonts w:cs="Times New Roman" w:ascii="Times New Roman" w:hAnsi="Times New Roman"/>
          <w:b/>
          <w:sz w:val="36"/>
          <w:szCs w:val="36"/>
        </w:rPr>
        <w:t>Règlement intérieur de l’Académie d’Angoumois</w:t>
      </w:r>
    </w:p>
    <w:p>
      <w:pPr>
        <w:pStyle w:val="Normal"/>
        <w:jc w:val="center"/>
        <w:rPr>
          <w:rFonts w:ascii="Times New Roman" w:hAnsi="Times New Roman" w:cs="Times New Roman"/>
          <w:b/>
          <w:b/>
          <w:i/>
          <w:i/>
          <w:sz w:val="28"/>
          <w:szCs w:val="28"/>
        </w:rPr>
      </w:pPr>
      <w:r>
        <w:rPr>
          <w:rFonts w:cs="Times New Roman" w:ascii="Times New Roman" w:hAnsi="Times New Roman"/>
          <w:b/>
          <w:i/>
          <w:sz w:val="28"/>
          <w:szCs w:val="28"/>
        </w:rPr>
        <w:t>(adopté par l’assemblée générale du 13 avril 2019)</w:t>
      </w:r>
    </w:p>
    <w:p>
      <w:pPr>
        <w:pStyle w:val="Normal"/>
        <w:jc w:val="center"/>
        <w:rPr>
          <w:rFonts w:ascii="Times New Roman" w:hAnsi="Times New Roman" w:cs="Times New Roman"/>
          <w:b/>
          <w:b/>
          <w:i/>
          <w:i/>
          <w:sz w:val="28"/>
          <w:szCs w:val="28"/>
        </w:rPr>
      </w:pPr>
      <w:r>
        <w:rPr>
          <w:rFonts w:cs="Times New Roman" w:ascii="Times New Roman" w:hAnsi="Times New Roman"/>
          <w:b/>
          <w:i/>
          <w:sz w:val="28"/>
          <w:szCs w:val="28"/>
        </w:rPr>
      </w:r>
    </w:p>
    <w:p>
      <w:pPr>
        <w:pStyle w:val="Normal"/>
        <w:rPr>
          <w:rFonts w:ascii="Times New Roman" w:hAnsi="Times New Roman" w:cs="Times New Roman"/>
          <w:b/>
          <w:b/>
          <w:i/>
          <w:i/>
          <w:sz w:val="24"/>
          <w:szCs w:val="24"/>
        </w:rPr>
      </w:pPr>
      <w:r>
        <w:rPr>
          <w:rFonts w:cs="Times New Roman" w:ascii="Times New Roman" w:hAnsi="Times New Roman"/>
          <w:b/>
          <w:i/>
          <w:sz w:val="24"/>
          <w:szCs w:val="24"/>
        </w:rPr>
      </w:r>
    </w:p>
    <w:p>
      <w:pPr>
        <w:pStyle w:val="Normal"/>
        <w:jc w:val="center"/>
        <w:rPr>
          <w:rFonts w:ascii="Times New Roman" w:hAnsi="Times New Roman" w:cs="Times New Roman"/>
          <w:b/>
          <w:b/>
          <w:sz w:val="24"/>
          <w:szCs w:val="24"/>
        </w:rPr>
      </w:pPr>
      <w:r>
        <w:rPr>
          <w:rFonts w:cs="Times New Roman" w:ascii="Times New Roman" w:hAnsi="Times New Roman"/>
          <w:b/>
          <w:sz w:val="24"/>
          <w:szCs w:val="24"/>
        </w:rPr>
        <w:t>Préambule</w:t>
      </w:r>
    </w:p>
    <w:p>
      <w:pPr>
        <w:pStyle w:val="Normal"/>
        <w:jc w:val="center"/>
        <w:rPr>
          <w:rFonts w:ascii="Times New Roman" w:hAnsi="Times New Roman" w:cs="Times New Roman"/>
          <w:b/>
          <w:b/>
          <w:sz w:val="24"/>
          <w:szCs w:val="24"/>
        </w:rPr>
      </w:pPr>
      <w:r>
        <w:rPr>
          <w:rFonts w:cs="Times New Roman" w:ascii="Times New Roman" w:hAnsi="Times New Roman"/>
          <w:b/>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t>L’article 4 des statuts dispose : « Le fonctionnement de l’Académie d’Angoumois peut faire l’objet d’un règlement intérieur établi par le bureau et soumis à l’approbation de l’assemblée générale. »</w:t>
      </w:r>
    </w:p>
    <w:p>
      <w:pPr>
        <w:pStyle w:val="Normal"/>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t>Le règlement intérieur a pour objet de décliner et compléter les statuts, de préciser le détail de leur application et d’actualiser les points soumis à des évolutions. Il évite ainsi des recours superflus à la lourde procédure de modification des statuts.</w:t>
      </w:r>
    </w:p>
    <w:p>
      <w:pPr>
        <w:pStyle w:val="Normal"/>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t>Les dispositions du règlement intérieur doivent être conformes aux statuts, norme supérieure. En cas de discordance, c’est la disposition prévue dans les statuts qui prévaut.</w:t>
      </w:r>
    </w:p>
    <w:p>
      <w:pPr>
        <w:pStyle w:val="Normal"/>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r>
    </w:p>
    <w:p>
      <w:pPr>
        <w:pStyle w:val="Normal"/>
        <w:spacing w:lineRule="auto" w:line="240" w:beforeAutospacing="1" w:afterAutospacing="1"/>
        <w:jc w:val="both"/>
        <w:rPr>
          <w:rFonts w:ascii="Times New Roman" w:hAnsi="Times New Roman" w:eastAsia="Times New Roman" w:cs="Times New Roman"/>
          <w:b/>
          <w:b/>
          <w:sz w:val="24"/>
          <w:szCs w:val="24"/>
          <w:lang w:eastAsia="fr-FR"/>
        </w:rPr>
      </w:pPr>
      <w:r>
        <w:rPr>
          <w:rFonts w:eastAsia="Times New Roman" w:cs="Times New Roman" w:ascii="Times New Roman" w:hAnsi="Times New Roman"/>
          <w:b/>
          <w:sz w:val="24"/>
          <w:szCs w:val="24"/>
          <w:lang w:eastAsia="fr-FR"/>
        </w:rPr>
        <w:t>Honorariat (art. 3 des statuts)</w:t>
      </w:r>
    </w:p>
    <w:p>
      <w:pPr>
        <w:pStyle w:val="Normal"/>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t xml:space="preserve">Les membres titulaires ne versant plus leur cotisation annuelle sont relancés par une lettre du secrétariat général fixant une échéance. En cas de non versement de la cotisation au-delà de cette échéance, une lettre du chancelier indique à l’intéressé qu’il prend la qualité de membre honoraire et que son fauteuil devient vacant. </w:t>
      </w:r>
    </w:p>
    <w:p>
      <w:pPr>
        <w:pStyle w:val="Normal"/>
        <w:spacing w:lineRule="auto" w:line="240" w:beforeAutospacing="1" w:afterAutospacing="1"/>
        <w:jc w:val="both"/>
        <w:rPr>
          <w:rFonts w:ascii="Times New Roman" w:hAnsi="Times New Roman" w:eastAsia="Times New Roman" w:cs="Times New Roman"/>
          <w:b/>
          <w:b/>
          <w:sz w:val="24"/>
          <w:szCs w:val="24"/>
          <w:lang w:eastAsia="fr-FR"/>
        </w:rPr>
      </w:pPr>
      <w:r>
        <w:rPr>
          <w:rFonts w:eastAsia="Times New Roman" w:cs="Times New Roman" w:ascii="Times New Roman" w:hAnsi="Times New Roman"/>
          <w:b/>
          <w:sz w:val="24"/>
          <w:szCs w:val="24"/>
          <w:lang w:eastAsia="fr-FR"/>
        </w:rPr>
        <w:t>Perte de la qualité d’académicien pour motif grave (art. 3 des statuts)</w:t>
      </w:r>
    </w:p>
    <w:p>
      <w:pPr>
        <w:pStyle w:val="Default"/>
        <w:rPr>
          <w:rFonts w:ascii="Times New Roman" w:hAnsi="Times New Roman" w:cs="Times New Roman"/>
        </w:rPr>
      </w:pPr>
      <w:r>
        <w:rPr>
          <w:rFonts w:cs="Times New Roman" w:ascii="Times New Roman" w:hAnsi="Times New Roman"/>
        </w:rPr>
        <w:t xml:space="preserve">Sont notamment réputés constituer des motifs graves : </w:t>
      </w:r>
    </w:p>
    <w:p>
      <w:pPr>
        <w:pStyle w:val="Default"/>
        <w:rPr>
          <w:rFonts w:ascii="Times New Roman" w:hAnsi="Times New Roman" w:cs="Times New Roman"/>
        </w:rPr>
      </w:pPr>
      <w:r>
        <w:rPr>
          <w:rFonts w:cs="Times New Roman" w:ascii="Times New Roman" w:hAnsi="Times New Roman"/>
        </w:rPr>
        <w:t xml:space="preserve">- une condamnation pénale pour crime ou délit  </w:t>
      </w:r>
    </w:p>
    <w:p>
      <w:pPr>
        <w:pStyle w:val="Default"/>
        <w:jc w:val="both"/>
        <w:rPr>
          <w:rFonts w:ascii="Times New Roman" w:hAnsi="Times New Roman" w:cs="Times New Roman"/>
        </w:rPr>
      </w:pPr>
      <w:r>
        <w:rPr>
          <w:rFonts w:cs="Times New Roman" w:ascii="Times New Roman" w:hAnsi="Times New Roman"/>
        </w:rPr>
        <w:t xml:space="preserve">- toute action de nature à porter préjudice, directement ou indirectement, aux activités de l’académie ou à sa réputation. </w:t>
      </w:r>
    </w:p>
    <w:p>
      <w:pPr>
        <w:pStyle w:val="Default"/>
        <w:jc w:val="both"/>
        <w:rPr>
          <w:rFonts w:ascii="Times New Roman" w:hAnsi="Times New Roman" w:cs="Times New Roman"/>
          <w:iCs/>
        </w:rPr>
      </w:pPr>
      <w:r>
        <w:rPr>
          <w:rFonts w:cs="Times New Roman" w:ascii="Times New Roman" w:hAnsi="Times New Roman"/>
          <w:iCs/>
        </w:rPr>
        <w:t>L’intéressé doit être invité à présenter sa défense, préalablement à la décision d’exclusion par l’assemblée générale.</w:t>
      </w:r>
    </w:p>
    <w:p>
      <w:pPr>
        <w:pStyle w:val="Default"/>
        <w:jc w:val="both"/>
        <w:rPr>
          <w:rFonts w:ascii="Times New Roman" w:hAnsi="Times New Roman" w:cs="Times New Roman"/>
        </w:rPr>
      </w:pPr>
      <w:r>
        <w:rPr>
          <w:rFonts w:cs="Times New Roman" w:ascii="Times New Roman" w:hAnsi="Times New Roman"/>
          <w:iCs/>
        </w:rPr>
        <w:t xml:space="preserve"> </w:t>
      </w:r>
    </w:p>
    <w:p>
      <w:pPr>
        <w:pStyle w:val="Normal"/>
        <w:spacing w:lineRule="auto" w:line="240" w:beforeAutospacing="1" w:afterAutospacing="1"/>
        <w:jc w:val="both"/>
        <w:rPr>
          <w:rFonts w:ascii="Times New Roman" w:hAnsi="Times New Roman" w:eastAsia="Times New Roman" w:cs="Times New Roman"/>
          <w:b/>
          <w:b/>
          <w:sz w:val="24"/>
          <w:szCs w:val="24"/>
          <w:lang w:eastAsia="fr-FR"/>
        </w:rPr>
      </w:pPr>
      <w:r>
        <w:rPr>
          <w:rFonts w:eastAsia="Times New Roman" w:cs="Times New Roman" w:ascii="Times New Roman" w:hAnsi="Times New Roman"/>
          <w:b/>
          <w:sz w:val="24"/>
          <w:szCs w:val="24"/>
          <w:lang w:eastAsia="fr-FR"/>
        </w:rPr>
      </w:r>
    </w:p>
    <w:p>
      <w:pPr>
        <w:pStyle w:val="Normal"/>
        <w:spacing w:lineRule="auto" w:line="240" w:beforeAutospacing="1" w:afterAutospacing="1"/>
        <w:jc w:val="both"/>
        <w:rPr>
          <w:rFonts w:ascii="Times New Roman" w:hAnsi="Times New Roman" w:eastAsia="Times New Roman" w:cs="Times New Roman"/>
          <w:b/>
          <w:b/>
          <w:sz w:val="24"/>
          <w:szCs w:val="24"/>
          <w:lang w:eastAsia="fr-FR"/>
        </w:rPr>
      </w:pPr>
      <w:r>
        <w:rPr>
          <w:rFonts w:eastAsia="Times New Roman" w:cs="Times New Roman" w:ascii="Times New Roman" w:hAnsi="Times New Roman"/>
          <w:b/>
          <w:sz w:val="24"/>
          <w:szCs w:val="24"/>
          <w:lang w:eastAsia="fr-FR"/>
        </w:rPr>
      </w:r>
    </w:p>
    <w:p>
      <w:pPr>
        <w:pStyle w:val="Normal"/>
        <w:spacing w:lineRule="auto" w:line="240" w:beforeAutospacing="1" w:afterAutospacing="1"/>
        <w:jc w:val="both"/>
        <w:rPr>
          <w:rFonts w:ascii="Times New Roman" w:hAnsi="Times New Roman" w:eastAsia="Times New Roman" w:cs="Times New Roman"/>
          <w:b/>
          <w:b/>
          <w:sz w:val="24"/>
          <w:szCs w:val="24"/>
          <w:lang w:eastAsia="fr-FR"/>
        </w:rPr>
      </w:pPr>
      <w:r>
        <w:rPr>
          <w:rFonts w:eastAsia="Times New Roman" w:cs="Times New Roman" w:ascii="Times New Roman" w:hAnsi="Times New Roman"/>
          <w:b/>
          <w:sz w:val="24"/>
          <w:szCs w:val="24"/>
          <w:lang w:eastAsia="fr-FR"/>
        </w:rPr>
        <w:t>Administration : attributions des membres du bureau (art. 4 des statuts)</w:t>
      </w:r>
    </w:p>
    <w:p>
      <w:pPr>
        <w:pStyle w:val="ListParagraph"/>
        <w:numPr>
          <w:ilvl w:val="0"/>
          <w:numId w:val="1"/>
        </w:numPr>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t>Le chancelier détermine et conduit la politique de l’Académie. Il veille au respect des textes régissant l’institution, préside les séances et le bureau, dirige les élections et informe sans délai les candidats élus, dispose de pouvoirs financiers consentis préalablement par l’assemblée générale sauf pour les dépenses courantes de fonctionnement qu’il peut engager directement, peut confier des missions temporaires particulières à des académiciens. Il peut prendre des décisions réversibles régularisables à l’assemblée générale suivante. Sa voix est toujours prépondérante. Il établit et présente le rapport moral (bilan, programme et perspectives).</w:t>
      </w:r>
    </w:p>
    <w:p>
      <w:pPr>
        <w:pStyle w:val="ListParagraph"/>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r>
    </w:p>
    <w:p>
      <w:pPr>
        <w:pStyle w:val="ListParagraph"/>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t>À son initiative ou sur demande d’académiciens, le chancelier décide la création de commissions de travail (par exemple politique de recrutement, communication interne/externe, prix littéraire, commémorations, histoire, poésie…). Chaque commission définit son mode de fonctionnement et rapporte à l’assemblée générale.</w:t>
      </w:r>
    </w:p>
    <w:p>
      <w:pPr>
        <w:pStyle w:val="ListParagraph"/>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r>
    </w:p>
    <w:p>
      <w:pPr>
        <w:pStyle w:val="ListParagraph"/>
        <w:numPr>
          <w:ilvl w:val="0"/>
          <w:numId w:val="1"/>
        </w:numPr>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t xml:space="preserve">Le chancelier adjoint est chargé de la </w:t>
      </w:r>
      <w:r>
        <w:rPr>
          <w:rFonts w:eastAsia="Times New Roman" w:cs="Times New Roman" w:ascii="Times New Roman" w:hAnsi="Times New Roman"/>
          <w:i/>
          <w:sz w:val="24"/>
          <w:szCs w:val="24"/>
          <w:lang w:eastAsia="fr-FR"/>
        </w:rPr>
        <w:t>Gazette</w:t>
      </w:r>
      <w:r>
        <w:rPr>
          <w:rFonts w:eastAsia="Times New Roman" w:cs="Times New Roman" w:ascii="Times New Roman" w:hAnsi="Times New Roman"/>
          <w:sz w:val="24"/>
          <w:szCs w:val="24"/>
          <w:lang w:eastAsia="fr-FR"/>
        </w:rPr>
        <w:t>, du site de l’Académie, du conseil. En outre, avec l’accord du chancelier, il peut exercer des activités managériales.</w:t>
      </w:r>
    </w:p>
    <w:p>
      <w:pPr>
        <w:pStyle w:val="ListParagraph"/>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r>
    </w:p>
    <w:p>
      <w:pPr>
        <w:pStyle w:val="ListParagraph"/>
        <w:numPr>
          <w:ilvl w:val="0"/>
          <w:numId w:val="1"/>
        </w:numPr>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t>Le trésorier règle les dépenses courantes ; au-delà, il agit sur ordre du chancelier. Il procède à l’encaissement des chèques, paie les factures, établit le budget, présente le rapport financier annuel à l’assemblée générale, gère le contrat d’assurance, délivre les cartes annuelles d’auditeur permanent (les académiciens étant élus à vie, les cartes de membre titulaire sont supprimées).</w:t>
      </w:r>
    </w:p>
    <w:p>
      <w:pPr>
        <w:pStyle w:val="ListParagraph"/>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r>
    </w:p>
    <w:p>
      <w:pPr>
        <w:pStyle w:val="ListParagraph"/>
        <w:numPr>
          <w:ilvl w:val="0"/>
          <w:numId w:val="1"/>
        </w:numPr>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t>Le secrétaire général gère les adhérents, l’organisation des conférences, le processus électoral, les réunions de bureau et de l’assemblée générale (convocations, pv…), les événements (voyages, colloques…), l’information/communication afférente. Il rédige et archive les pv.</w:t>
      </w:r>
    </w:p>
    <w:p>
      <w:pPr>
        <w:pStyle w:val="Normal"/>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t>Chaque membre du bureau est habilité à intervenir auprès des médias pour valoriser l’activité de l’Académie d’Angoumois.</w:t>
      </w:r>
    </w:p>
    <w:p>
      <w:pPr>
        <w:pStyle w:val="Normal"/>
        <w:spacing w:lineRule="auto" w:line="240" w:beforeAutospacing="1" w:afterAutospacing="1"/>
        <w:jc w:val="both"/>
        <w:rPr>
          <w:rFonts w:ascii="Times New Roman" w:hAnsi="Times New Roman" w:eastAsia="Times New Roman" w:cs="Times New Roman"/>
          <w:b/>
          <w:b/>
          <w:sz w:val="24"/>
          <w:szCs w:val="24"/>
          <w:lang w:eastAsia="fr-FR"/>
        </w:rPr>
      </w:pPr>
      <w:r>
        <w:rPr>
          <w:rFonts w:eastAsia="Times New Roman" w:cs="Times New Roman" w:ascii="Times New Roman" w:hAnsi="Times New Roman"/>
          <w:b/>
          <w:sz w:val="24"/>
          <w:szCs w:val="24"/>
          <w:lang w:eastAsia="fr-FR"/>
        </w:rPr>
        <w:t>Réunions du bureau (art. 4 des statuts)</w:t>
      </w:r>
    </w:p>
    <w:p>
      <w:pPr>
        <w:pStyle w:val="Normal"/>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t>Pour tenir compte de la dispersion géographique des acteurs, les réunions de bureau peuvent se tenir à distance, par conférence téléphonique, internet…</w:t>
      </w:r>
    </w:p>
    <w:p>
      <w:pPr>
        <w:pStyle w:val="Normal"/>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t>Les réunions de bureau donnent lieu à un ordre du jour, et à un pv communiqué aux membres titulaires.</w:t>
      </w:r>
    </w:p>
    <w:p>
      <w:pPr>
        <w:pStyle w:val="Normal"/>
        <w:spacing w:lineRule="auto" w:line="240" w:beforeAutospacing="1" w:afterAutospacing="1"/>
        <w:jc w:val="both"/>
        <w:rPr>
          <w:rFonts w:ascii="Times New Roman" w:hAnsi="Times New Roman" w:eastAsia="Times New Roman" w:cs="Times New Roman"/>
          <w:b/>
          <w:b/>
          <w:sz w:val="24"/>
          <w:szCs w:val="24"/>
          <w:lang w:eastAsia="fr-FR"/>
        </w:rPr>
      </w:pPr>
      <w:r>
        <w:rPr>
          <w:rFonts w:eastAsia="Times New Roman" w:cs="Times New Roman" w:ascii="Times New Roman" w:hAnsi="Times New Roman"/>
          <w:b/>
          <w:sz w:val="24"/>
          <w:szCs w:val="24"/>
          <w:lang w:eastAsia="fr-FR"/>
        </w:rPr>
        <w:t>Programme annuel de conférences (art. 5 des statuts)</w:t>
      </w:r>
    </w:p>
    <w:p>
      <w:pPr>
        <w:pStyle w:val="Normal"/>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t>La liste annuelle des conférences est arrêtée en assemblée générale. Elle peut être amendée, complétée en cours d’année par le bureau.</w:t>
      </w:r>
    </w:p>
    <w:p>
      <w:pPr>
        <w:pStyle w:val="Normal"/>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r>
    </w:p>
    <w:p>
      <w:pPr>
        <w:pStyle w:val="Normal"/>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r>
    </w:p>
    <w:p>
      <w:pPr>
        <w:pStyle w:val="Normal"/>
        <w:spacing w:lineRule="auto" w:line="240" w:beforeAutospacing="1" w:afterAutospacing="1"/>
        <w:jc w:val="both"/>
        <w:rPr>
          <w:rFonts w:ascii="Times New Roman" w:hAnsi="Times New Roman" w:eastAsia="Times New Roman" w:cs="Times New Roman"/>
          <w:b/>
          <w:b/>
          <w:sz w:val="24"/>
          <w:szCs w:val="24"/>
          <w:lang w:eastAsia="fr-FR"/>
        </w:rPr>
      </w:pPr>
      <w:r>
        <w:rPr>
          <w:rFonts w:eastAsia="Times New Roman" w:cs="Times New Roman" w:ascii="Times New Roman" w:hAnsi="Times New Roman"/>
          <w:b/>
          <w:sz w:val="24"/>
          <w:szCs w:val="24"/>
          <w:lang w:eastAsia="fr-FR"/>
        </w:rPr>
        <w:t>Élections (art. 6 des statuts)</w:t>
      </w:r>
    </w:p>
    <w:p>
      <w:pPr>
        <w:pStyle w:val="Normal"/>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t xml:space="preserve">Les dispositions pratiques sont celles du règlement électoral du 20 janvier 2015 : </w:t>
      </w:r>
    </w:p>
    <w:p>
      <w:pPr>
        <w:pStyle w:val="Normal"/>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t>Le secrétaire général transmet aux membres titulaires, par voie électronique, les éléments biographiques des candidats, puis, par voie postale, le matériel de vote. Celui-ci comprend un bulletin mentionnant la liste des candidats, une enveloppe de vote et une enveloppe timbrée destinée à l’envoi de l’enveloppe de vote cachetée au secrétaire général.</w:t>
      </w:r>
    </w:p>
    <w:p>
      <w:pPr>
        <w:pStyle w:val="Normal"/>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t>Les membres titulaires choisissent le ou les noms dans la liste des candidats, entourent au stylo ce ou ces noms sur le bulletin, mettent le bulletin renseigné dans l’enveloppe de vote, cachètent l’enveloppe de vote, mettent l’enveloppe de vote cachetée dans l’enveloppe timbrée destinée au secrétaire général, envoient l’enveloppe timbrée contenant l’enveloppe de vote au secrétaire général avant la date limite fixée.</w:t>
      </w:r>
    </w:p>
    <w:p>
      <w:pPr>
        <w:pStyle w:val="Normal"/>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t>Ne sont pris en compte que les votes des académiciens à jour de leur cotisation. (Un chèque à l’ordre de l’Académie peut être joint dans l’enveloppe adressée au secrétaire général qui le fera suivre au trésorier.)</w:t>
      </w:r>
    </w:p>
    <w:p>
      <w:pPr>
        <w:pStyle w:val="Normal"/>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t>Sont élus le ou les candidats ayant recueilli le plus de voix.  En cas d’ex aequo, le candidat le plus âgé est élu.</w:t>
      </w:r>
    </w:p>
    <w:p>
      <w:pPr>
        <w:pStyle w:val="Normal"/>
        <w:spacing w:lineRule="auto" w:line="240" w:beforeAutospacing="1" w:afterAutospacing="1"/>
        <w:jc w:val="both"/>
        <w:rPr>
          <w:rFonts w:ascii="Times New Roman" w:hAnsi="Times New Roman" w:eastAsia="Times New Roman" w:cs="Times New Roman"/>
          <w:b/>
          <w:b/>
          <w:sz w:val="24"/>
          <w:szCs w:val="24"/>
          <w:lang w:eastAsia="fr-FR"/>
        </w:rPr>
      </w:pPr>
      <w:r>
        <w:rPr>
          <w:rFonts w:eastAsia="Times New Roman" w:cs="Times New Roman" w:ascii="Times New Roman" w:hAnsi="Times New Roman"/>
          <w:b/>
          <w:sz w:val="24"/>
          <w:szCs w:val="24"/>
          <w:lang w:eastAsia="fr-FR"/>
        </w:rPr>
        <w:t>Formalisme de la séance de réception des nouveaux académiciens (art. 6 des statuts)</w:t>
      </w:r>
    </w:p>
    <w:p>
      <w:pPr>
        <w:pStyle w:val="Normal"/>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t>Les académiciens prennent place en séance juste avant 15h, au 1</w:t>
      </w:r>
      <w:r>
        <w:rPr>
          <w:rFonts w:eastAsia="Times New Roman" w:cs="Times New Roman" w:ascii="Times New Roman" w:hAnsi="Times New Roman"/>
          <w:sz w:val="24"/>
          <w:szCs w:val="24"/>
          <w:vertAlign w:val="superscript"/>
          <w:lang w:eastAsia="fr-FR"/>
        </w:rPr>
        <w:t>er</w:t>
      </w:r>
      <w:r>
        <w:rPr>
          <w:rFonts w:eastAsia="Times New Roman" w:cs="Times New Roman" w:ascii="Times New Roman" w:hAnsi="Times New Roman"/>
          <w:sz w:val="24"/>
          <w:szCs w:val="24"/>
          <w:lang w:eastAsia="fr-FR"/>
        </w:rPr>
        <w:t xml:space="preserve"> rang ou de chaque côté du récipiendaire. Le chancelier prononce un discours de bienvenue de 15 minutes, auquel répond le nouvel élu par un discours de remerciement de 20 à 30 minutes.</w:t>
      </w:r>
    </w:p>
    <w:p>
      <w:pPr>
        <w:pStyle w:val="Normal"/>
        <w:spacing w:lineRule="auto" w:line="240" w:beforeAutospacing="1" w:afterAutospacing="1"/>
        <w:jc w:val="both"/>
        <w:rPr>
          <w:rFonts w:ascii="Times New Roman" w:hAnsi="Times New Roman" w:eastAsia="Times New Roman" w:cs="Times New Roman"/>
          <w:b/>
          <w:b/>
          <w:sz w:val="24"/>
          <w:szCs w:val="24"/>
          <w:lang w:eastAsia="fr-FR"/>
        </w:rPr>
      </w:pPr>
      <w:r>
        <w:rPr>
          <w:rFonts w:eastAsia="Times New Roman" w:cs="Times New Roman" w:ascii="Times New Roman" w:hAnsi="Times New Roman"/>
          <w:b/>
          <w:sz w:val="24"/>
          <w:szCs w:val="24"/>
          <w:lang w:eastAsia="fr-FR"/>
        </w:rPr>
        <w:t>Registre (art. 7 des statuts)</w:t>
      </w:r>
    </w:p>
    <w:p>
      <w:pPr>
        <w:pStyle w:val="Normal"/>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t xml:space="preserve">L’obligation de tenir un registre spécial actant les modifications statutaires ou administratives  a </w:t>
      </w:r>
      <w:r>
        <w:rPr>
          <w:rFonts w:cs="Times New Roman" w:ascii="Times New Roman" w:hAnsi="Times New Roman"/>
          <w:sz w:val="24"/>
          <w:szCs w:val="24"/>
        </w:rPr>
        <w:t>été abrogée par l'ordonnance du 23 juillet 2015 portant simplification du régime des associations et des fondations. L’art. 7 des statuts de l’Académie d’Angoumois est donc devenu sans objet.</w:t>
      </w:r>
    </w:p>
    <w:p>
      <w:pPr>
        <w:pStyle w:val="Normal"/>
        <w:spacing w:lineRule="auto" w:line="240" w:beforeAutospacing="1" w:afterAutospacing="1"/>
        <w:jc w:val="both"/>
        <w:rPr>
          <w:rFonts w:ascii="Times New Roman" w:hAnsi="Times New Roman" w:eastAsia="Times New Roman" w:cs="Times New Roman"/>
          <w:b/>
          <w:b/>
          <w:sz w:val="24"/>
          <w:szCs w:val="24"/>
          <w:lang w:eastAsia="fr-FR"/>
        </w:rPr>
      </w:pPr>
      <w:r>
        <w:rPr>
          <w:rFonts w:eastAsia="Times New Roman" w:cs="Times New Roman" w:ascii="Times New Roman" w:hAnsi="Times New Roman"/>
          <w:b/>
          <w:sz w:val="24"/>
          <w:szCs w:val="24"/>
          <w:lang w:eastAsia="fr-FR"/>
        </w:rPr>
        <w:t>Ressources financières (art. 8 des statuts)</w:t>
      </w:r>
    </w:p>
    <w:p>
      <w:pPr>
        <w:pStyle w:val="Normal"/>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t>Le montant des cotisations des membres titulaires de l’Académie est fixé  par l’assemblée générale.</w:t>
      </w:r>
    </w:p>
    <w:p>
      <w:pPr>
        <w:pStyle w:val="Normal"/>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t>Le montant des tarifs appliqués soit aux auditeurs permanents, soit aux auditeurs occasionnels est fixé par le bureau.</w:t>
      </w:r>
    </w:p>
    <w:p>
      <w:pPr>
        <w:pStyle w:val="Normal"/>
        <w:spacing w:lineRule="auto" w:line="240" w:beforeAutospacing="1" w:afterAutospacing="1"/>
        <w:jc w:val="both"/>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t>Les cotisations couvrent l’année civile.</w:t>
      </w:r>
    </w:p>
    <w:p>
      <w:pPr>
        <w:pStyle w:val="Normal"/>
        <w:spacing w:lineRule="auto" w:line="240" w:beforeAutospacing="1" w:afterAutospacing="1"/>
        <w:jc w:val="both"/>
        <w:rPr/>
      </w:pPr>
      <w:r>
        <w:rPr>
          <w:rFonts w:eastAsia="Times New Roman" w:cs="Times New Roman" w:ascii="Times New Roman" w:hAnsi="Times New Roman"/>
          <w:sz w:val="24"/>
          <w:szCs w:val="24"/>
          <w:lang w:eastAsia="fr-FR"/>
        </w:rPr>
        <w:t>Le bureau peut solliciter des subventions sans l’aval préalable de l’assemblée générale.</w:t>
      </w:r>
    </w:p>
    <w:sectPr>
      <w:type w:val="nextPage"/>
      <w:pgSz w:w="11906" w:h="16838"/>
      <w:pgMar w:left="1417" w:right="1417" w:header="0" w:top="1417" w:footer="0" w:bottom="1417"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Arial">
    <w:charset w:val="00"/>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numFmt w:val="bullet"/>
      <w:lvlText w:val="-"/>
      <w:lvlJc w:val="left"/>
      <w:pPr>
        <w:ind w:left="720" w:hanging="360"/>
      </w:pPr>
      <w:rPr>
        <w:rFonts w:ascii="Times New Roman" w:hAnsi="Times New Roman" w:cs="Times New Roman" w:hint="default"/>
        <w:sz w:val="24"/>
        <w:rFonts w:cs="Times New Roman"/>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d6905"/>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fr-FR" w:eastAsia="en-US" w:bidi="ar-SA"/>
    </w:rPr>
  </w:style>
  <w:style w:type="character" w:styleId="DefaultParagraphFont" w:default="1">
    <w:name w:val="Default Paragraph Font"/>
    <w:uiPriority w:val="1"/>
    <w:semiHidden/>
    <w:unhideWhenUsed/>
    <w:qFormat/>
    <w:rPr/>
  </w:style>
  <w:style w:type="character" w:styleId="LienInternet">
    <w:name w:val="Lien Internet"/>
    <w:basedOn w:val="DefaultParagraphFont"/>
    <w:uiPriority w:val="99"/>
    <w:semiHidden/>
    <w:unhideWhenUsed/>
    <w:rsid w:val="002e5914"/>
    <w:rPr>
      <w:color w:val="0000FF"/>
      <w:u w:val="single"/>
    </w:rPr>
  </w:style>
  <w:style w:type="character" w:styleId="HTMLCite">
    <w:name w:val="HTML Cite"/>
    <w:basedOn w:val="DefaultParagraphFont"/>
    <w:uiPriority w:val="99"/>
    <w:semiHidden/>
    <w:unhideWhenUsed/>
    <w:qFormat/>
    <w:rsid w:val="002e5914"/>
    <w:rPr>
      <w:i/>
      <w:iCs/>
    </w:rPr>
  </w:style>
  <w:style w:type="character" w:styleId="TextedebullesCar" w:customStyle="1">
    <w:name w:val="Texte de bulles Car"/>
    <w:basedOn w:val="DefaultParagraphFont"/>
    <w:link w:val="Textedebulles"/>
    <w:uiPriority w:val="99"/>
    <w:semiHidden/>
    <w:qFormat/>
    <w:rsid w:val="002e5914"/>
    <w:rPr>
      <w:rFonts w:ascii="Tahoma" w:hAnsi="Tahoma" w:cs="Tahoma"/>
      <w:sz w:val="16"/>
      <w:szCs w:val="16"/>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rFonts w:ascii="Times New Roman" w:hAnsi="Times New Roman" w:eastAsia="Times New Roman" w:cs="Times New Roman"/>
      <w:sz w:val="24"/>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paragraph" w:styleId="Titre">
    <w:name w:val="Titre"/>
    <w:basedOn w:val="Normal"/>
    <w:next w:val="Corpsdetexte"/>
    <w:qFormat/>
    <w:pPr>
      <w:keepNext/>
      <w:spacing w:before="240" w:after="120"/>
    </w:pPr>
    <w:rPr>
      <w:rFonts w:ascii="Liberation Sans" w:hAnsi="Liberation Sans" w:eastAsia="Microsoft YaHei" w:cs="Arial"/>
      <w:sz w:val="28"/>
      <w:szCs w:val="28"/>
    </w:rPr>
  </w:style>
  <w:style w:type="paragraph" w:styleId="Corpsdetexte">
    <w:name w:val="Body Text"/>
    <w:basedOn w:val="Normal"/>
    <w:pPr>
      <w:spacing w:lineRule="auto" w:line="288" w:before="0" w:after="140"/>
    </w:pPr>
    <w:rPr/>
  </w:style>
  <w:style w:type="paragraph" w:styleId="Liste">
    <w:name w:val="List"/>
    <w:basedOn w:val="Corpsdetexte"/>
    <w:pPr/>
    <w:rPr>
      <w:rFonts w:cs="Arial"/>
    </w:rPr>
  </w:style>
  <w:style w:type="paragraph" w:styleId="Lgende">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Default" w:customStyle="1">
    <w:name w:val="Default"/>
    <w:qFormat/>
    <w:rsid w:val="0020799a"/>
    <w:pPr>
      <w:widowControl/>
      <w:bidi w:val="0"/>
      <w:spacing w:lineRule="auto" w:line="240" w:before="0" w:after="0"/>
      <w:jc w:val="left"/>
    </w:pPr>
    <w:rPr>
      <w:rFonts w:ascii="Arial" w:hAnsi="Arial" w:cs="Arial" w:eastAsia="Calibri"/>
      <w:color w:val="000000"/>
      <w:sz w:val="24"/>
      <w:szCs w:val="24"/>
      <w:lang w:val="fr-FR" w:eastAsia="en-US" w:bidi="ar-SA"/>
    </w:rPr>
  </w:style>
  <w:style w:type="paragraph" w:styleId="Chapeau" w:customStyle="1">
    <w:name w:val="chapeau"/>
    <w:basedOn w:val="Normal"/>
    <w:qFormat/>
    <w:rsid w:val="002e5914"/>
    <w:pPr>
      <w:spacing w:lineRule="auto" w:line="240" w:beforeAutospacing="1" w:afterAutospacing="1"/>
    </w:pPr>
    <w:rPr>
      <w:rFonts w:ascii="Times New Roman" w:hAnsi="Times New Roman" w:eastAsia="Times New Roman" w:cs="Times New Roman"/>
      <w:sz w:val="24"/>
      <w:szCs w:val="24"/>
      <w:lang w:eastAsia="fr-FR"/>
    </w:rPr>
  </w:style>
  <w:style w:type="paragraph" w:styleId="NormalWeb">
    <w:name w:val="Normal (Web)"/>
    <w:basedOn w:val="Normal"/>
    <w:uiPriority w:val="99"/>
    <w:unhideWhenUsed/>
    <w:qFormat/>
    <w:rsid w:val="002e5914"/>
    <w:pPr>
      <w:spacing w:lineRule="auto" w:line="240" w:beforeAutospacing="1" w:afterAutospacing="1"/>
    </w:pPr>
    <w:rPr>
      <w:rFonts w:ascii="Times New Roman" w:hAnsi="Times New Roman" w:eastAsia="Times New Roman" w:cs="Times New Roman"/>
      <w:sz w:val="24"/>
      <w:szCs w:val="24"/>
      <w:lang w:eastAsia="fr-FR"/>
    </w:rPr>
  </w:style>
  <w:style w:type="paragraph" w:styleId="Surtitre" w:customStyle="1">
    <w:name w:val="surtitre"/>
    <w:basedOn w:val="Normal"/>
    <w:qFormat/>
    <w:rsid w:val="002e5914"/>
    <w:pPr>
      <w:spacing w:lineRule="auto" w:line="240" w:beforeAutospacing="1" w:afterAutospacing="1"/>
    </w:pPr>
    <w:rPr>
      <w:rFonts w:ascii="Times New Roman" w:hAnsi="Times New Roman" w:eastAsia="Times New Roman" w:cs="Times New Roman"/>
      <w:sz w:val="24"/>
      <w:szCs w:val="24"/>
      <w:lang w:eastAsia="fr-FR"/>
    </w:rPr>
  </w:style>
  <w:style w:type="paragraph" w:styleId="BalloonText">
    <w:name w:val="Balloon Text"/>
    <w:basedOn w:val="Normal"/>
    <w:link w:val="TextedebullesCar"/>
    <w:uiPriority w:val="99"/>
    <w:semiHidden/>
    <w:unhideWhenUsed/>
    <w:qFormat/>
    <w:rsid w:val="002e5914"/>
    <w:pPr>
      <w:spacing w:lineRule="auto" w:line="240" w:before="0" w:after="0"/>
    </w:pPr>
    <w:rPr>
      <w:rFonts w:ascii="Tahoma" w:hAnsi="Tahoma" w:cs="Tahoma"/>
      <w:sz w:val="16"/>
      <w:szCs w:val="16"/>
    </w:rPr>
  </w:style>
  <w:style w:type="paragraph" w:styleId="ListParagraph">
    <w:name w:val="List Paragraph"/>
    <w:basedOn w:val="Normal"/>
    <w:uiPriority w:val="34"/>
    <w:qFormat/>
    <w:rsid w:val="00bd3994"/>
    <w:pPr>
      <w:spacing w:before="0" w:after="200"/>
      <w:ind w:left="720" w:hanging="0"/>
      <w:contextualSpacing/>
    </w:pPr>
    <w:rPr/>
  </w:style>
  <w:style w:type="numbering" w:styleId="NoList" w:default="1">
    <w:name w:val="No List"/>
    <w:uiPriority w:val="99"/>
    <w:semiHidden/>
    <w:unhideWhenUsed/>
    <w:qFormat/>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564</TotalTime>
  <Application>LibreOffice/5.3.4.2$Windows_X86_64 LibreOffice_project/f82d347ccc0be322489bf7da61d7e4ad13fe2ff3</Application>
  <Pages>3</Pages>
  <Words>935</Words>
  <Characters>5352</Characters>
  <CharactersWithSpaces>6252</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2017-11-17T13:02:00Z</dcterms:created>
  <dc:creator>Mazere</dc:creator>
  <dc:description/>
  <dc:language>fr-FR</dc:language>
  <cp:lastModifiedBy>Mazere</cp:lastModifiedBy>
  <dcterms:modified xsi:type="dcterms:W3CDTF">2019-04-19T09:52:00Z</dcterms:modified>
  <cp:revision>28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